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2.00000000000003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Comunicato stampa</w:t>
      </w:r>
    </w:p>
    <w:p w:rsidR="00000000" w:rsidDel="00000000" w:rsidP="00000000" w:rsidRDefault="00000000" w:rsidRPr="00000000" w14:paraId="00000003">
      <w:pPr>
        <w:spacing w:line="252.00000000000003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tx7fea9c35j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ANNUNCIATI I VINCITORI DEL LECCIO D’ORO 2025: IL BRUNELLO PREMIA I SUOI AMBASCIATORI IN ITALIA E OLTREOCEANO</w:t>
      </w:r>
    </w:p>
    <w:p w:rsidR="00000000" w:rsidDel="00000000" w:rsidP="00000000" w:rsidRDefault="00000000" w:rsidRPr="00000000" w14:paraId="00000005">
      <w:pPr>
        <w:spacing w:after="160" w:line="276" w:lineRule="auto"/>
        <w:jc w:val="center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DEBUTTA IL PREMIO SPECIALE 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2"/>
          <w:szCs w:val="22"/>
          <w:rtl w:val="0"/>
        </w:rPr>
        <w:t xml:space="preserve">COMUNICAZIONE E DIGITAL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(Montalcino - SI, 5 novembre 2025). Annunciati i vincitori del Leccio d’Oro 2025. Il Consorzio del vino Brunello di Montalcino ha ufficializzato oggi i protagonisti del riconoscimento che da oltre 30 anni individua e seleziona, in Italia e all’estero, ristoranti ed enoteche con carte e proposte altamente rappresentative dei vini della denominazione, sia per numero di etichette che per verticalità di annate. Tra le novità della 34^ edizione del Leccio d’Oro, la collocazione della premiazione nel corso del cocktail gala di Benvenuto Brunello (21 novembre, su invito) e l’esordio del Premio speciale </w:t>
      </w: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Comunicazione e digital media.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“Una nuova categoria che racconta come cambia il modo di parlare di vino – sottolinea il presidente del Consorzio, </w:t>
      </w: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Giacomo Bartolommei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–. In un mondo in continua evoluzione, il vino torna a essere racconto, incontro e condivisione: un linguaggio che unisce, più che spiegare”. </w:t>
      </w:r>
    </w:p>
    <w:p w:rsidR="00000000" w:rsidDel="00000000" w:rsidP="00000000" w:rsidRDefault="00000000" w:rsidRPr="00000000" w14:paraId="00000007">
      <w:pPr>
        <w:spacing w:after="160" w:line="276" w:lineRule="auto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Ad aggiudicarsi la categoria ‘Ristorante Italia’ è la 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2"/>
          <w:szCs w:val="22"/>
          <w:rtl w:val="0"/>
        </w:rPr>
        <w:t xml:space="preserve">Taverna di San Giuseppe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a Siena con una cantina di oltre 600 referenze nazionali e internazionali in cui primeggia il Brunello affiancato anche dal Rosso di Montalcino, mentre 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2"/>
          <w:szCs w:val="22"/>
          <w:rtl w:val="0"/>
        </w:rPr>
        <w:t xml:space="preserve">Casa Tua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a Miami (Florida -USA) è il ristorante internazionale insignito del Leccio d’Oro. Fondato nel 2001 da Miky Grenden (di origini italiane) e affidato alla direzione di Alessandro Lapomarda, il ristorante - con sedi anche a New York, Aspen e Parigi - si distingue per una carta vini di respiro internazionale e un’attenzione costante ai grandi rossi italiani e in particolare al Brunello.</w:t>
      </w:r>
    </w:p>
    <w:p w:rsidR="00000000" w:rsidDel="00000000" w:rsidP="00000000" w:rsidRDefault="00000000" w:rsidRPr="00000000" w14:paraId="00000008">
      <w:pPr>
        <w:spacing w:after="160" w:line="276" w:lineRule="auto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Dagli Stati Uniti al Canada per la categoria ‘Enoteca estera 2025’ che va a 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2"/>
          <w:szCs w:val="22"/>
          <w:rtl w:val="0"/>
        </w:rPr>
        <w:t xml:space="preserve">Zyn the wine market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, il liquor store di Calgary, nella provincia di Alberta, che offre complessivamente oltre 7mila referenze internazionali, tra cui quelle italiane guidate da oltre 170 referenze tra Brunello e Brunello Riserva delle annate più significative, al centro anche di numerose wine experience dedicate. Fa ritorno a Montalcino il Leccio d’Oro per la medesima sezione assegnato </w:t>
      </w: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all’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2"/>
          <w:szCs w:val="22"/>
          <w:rtl w:val="0"/>
        </w:rPr>
        <w:t xml:space="preserve">Enoteca di Piazza</w:t>
      </w: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meta nel cuore del borgo per gli acquisti da parte dei turisti italiani e internazionali. Fondata nel 2004 dai coniugi Silvana e Andrea Fedolfi, l’Enoteca di Piazza offre una panoramica completa dei produttori del territorio, dalle etichette storiche alle realtà emergenti.</w:t>
      </w:r>
    </w:p>
    <w:p w:rsidR="00000000" w:rsidDel="00000000" w:rsidP="00000000" w:rsidRDefault="00000000" w:rsidRPr="00000000" w14:paraId="00000009">
      <w:pPr>
        <w:spacing w:after="160" w:line="276" w:lineRule="auto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Rimane nel territorio il </w:t>
      </w: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Premio Speciale Rosso di Montalcino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assegnato a 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2"/>
          <w:szCs w:val="22"/>
          <w:rtl w:val="0"/>
        </w:rPr>
        <w:t xml:space="preserve">Vineria Aperta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a Castelnuovo dell’Abate,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assegnato per l’impegno nel valorizzare il Rosso di Montalcino, il vino dall’anima pop della denominazione che unisce versatilità e identità.</w:t>
      </w:r>
    </w:p>
    <w:p w:rsidR="00000000" w:rsidDel="00000000" w:rsidP="00000000" w:rsidRDefault="00000000" w:rsidRPr="00000000" w14:paraId="0000000A">
      <w:pPr>
        <w:spacing w:after="160" w:line="276" w:lineRule="auto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Mentre 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2"/>
          <w:szCs w:val="22"/>
          <w:rtl w:val="0"/>
        </w:rPr>
        <w:t xml:space="preserve">Jean des Rivières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2"/>
          <w:szCs w:val="22"/>
          <w:rtl w:val="0"/>
        </w:rPr>
        <w:t xml:space="preserve">Terry Goodall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sono gli interpreti del debutto del </w:t>
      </w: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Premio Speciale Comunicazione e digital media 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attribuito per la “capacità di raccontare, attraverso i canali digitali e i media internazionali, il territorio di Montalcino e i suoi vini con linguaggio contemporaneo e contenuti di alto profilo divulgativo”.</w:t>
      </w:r>
    </w:p>
    <w:p w:rsidR="00000000" w:rsidDel="00000000" w:rsidP="00000000" w:rsidRDefault="00000000" w:rsidRPr="00000000" w14:paraId="0000000B">
      <w:pPr>
        <w:spacing w:after="160" w:line="276" w:lineRule="auto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Dopo una carriera di 37 anni come geologo e dirigente nel settore delle risorse naturali, </w:t>
      </w: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Jean des Rivières (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Toronto</w:t>
      </w: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ha trasformato la sua passione per il Brunello di Montalcino nel progetto @BrunelloDude, con l’obiettivo di renderlo accessibile a livello comunicativo, attraverso un linguaggio coinvolgente e piacevole. Il suo motto è “Ogni giorno è un giorno felice con un Brunello”. </w:t>
      </w: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Terry Goodall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(Redmond-Washington) è un appassionato devoto del Brunello di Montalcino, scoperto durante un viaggio in Italia nel 2002 e autore di @Culinary_Travels_ with_Brunello, creata per condividere la sua passione enogastronomica. Nella sua cantina custodisce circa 950 bottiglie di Brunello e 200 di Rosso di Montalcino.</w:t>
      </w:r>
    </w:p>
    <w:p w:rsidR="00000000" w:rsidDel="00000000" w:rsidP="00000000" w:rsidRDefault="00000000" w:rsidRPr="00000000" w14:paraId="0000000C">
      <w:pPr>
        <w:spacing w:line="252.00000000000003" w:lineRule="auto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Istituito nel 1994, il Premio Leccio d’Oro è dedicato ai ristoranti e alle enoteche nazionali ed estere con una carta vini ampia e particolarmente rappresentativa dei vini espressione del borgo toscano, a partire proprio dal Brunello. La Giuria del Premio è composta dal presidente e da membri del consiglio del Consorzio del vino Brunello di Montalcino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252.00000000000003" w:lineRule="auto"/>
        <w:rPr>
          <w:rFonts w:ascii="Aptos" w:cs="Aptos" w:eastAsia="Aptos" w:hAnsi="Aptos"/>
          <w:i w:val="1"/>
          <w:i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Link all’albo dei premiati: </w:t>
      </w:r>
      <w:hyperlink r:id="rId7">
        <w:r w:rsidDel="00000000" w:rsidR="00000000" w:rsidRPr="00000000">
          <w:rPr>
            <w:rFonts w:ascii="Aptos" w:cs="Aptos" w:eastAsia="Aptos" w:hAnsi="Aptos"/>
            <w:i w:val="1"/>
            <w:iCs w:val="1"/>
            <w:color w:val="0000ff"/>
            <w:sz w:val="22"/>
            <w:szCs w:val="22"/>
            <w:u w:val="single"/>
            <w:rtl w:val="0"/>
          </w:rPr>
          <w:t xml:space="preserve">https://www.benvenutobrunello.com/leccio-doro/</w:t>
        </w:r>
      </w:hyperlink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60" w:line="276" w:lineRule="auto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Ufficio stampa Consorzio del Brunello di Montalcino – Ispropress:</w:t>
      </w:r>
    </w:p>
    <w:p w:rsidR="00000000" w:rsidDel="00000000" w:rsidP="00000000" w:rsidRDefault="00000000" w:rsidRPr="00000000" w14:paraId="00000010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Benny Lonardi</w:t>
      </w:r>
      <w:r w:rsidDel="00000000" w:rsidR="00000000" w:rsidRPr="00000000">
        <w:rPr>
          <w:rFonts w:ascii="Aptos" w:cs="Aptos" w:eastAsia="Aptos" w:hAnsi="Aptos"/>
          <w:rtl w:val="0"/>
        </w:rPr>
        <w:t xml:space="preserve"> (393.4555590; direzione@ispropress.it);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Sara Faroni</w:t>
      </w:r>
      <w:r w:rsidDel="00000000" w:rsidR="00000000" w:rsidRPr="00000000">
        <w:rPr>
          <w:rFonts w:ascii="Aptos" w:cs="Aptos" w:eastAsia="Aptos" w:hAnsi="Aptos"/>
          <w:rtl w:val="0"/>
        </w:rPr>
        <w:t xml:space="preserve"> (328.6617921; ufficiostampa@ispropress.it) e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Simone Velasco</w:t>
      </w:r>
      <w:r w:rsidDel="00000000" w:rsidR="00000000" w:rsidRPr="00000000">
        <w:rPr>
          <w:rFonts w:ascii="Aptos" w:cs="Aptos" w:eastAsia="Aptos" w:hAnsi="Aptos"/>
          <w:rtl w:val="0"/>
        </w:rPr>
        <w:t xml:space="preserve"> (327.9131676; simovela@ispropress.it).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jc w:val="both"/>
        <w:rPr>
          <w:rFonts w:ascii="Aptos" w:cs="Aptos" w:eastAsia="Aptos" w:hAnsi="Aptos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76" w:lineRule="auto"/>
        <w:jc w:val="both"/>
        <w:rPr>
          <w:rFonts w:ascii="Aptos" w:cs="Aptos" w:eastAsia="Aptos" w:hAnsi="Aptos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6" w:lineRule="auto"/>
        <w:jc w:val="center"/>
        <w:rPr>
          <w:rFonts w:ascii="Aptos" w:cs="Aptos" w:eastAsia="Aptos" w:hAnsi="Aptos"/>
          <w:b w:val="1"/>
          <w:bCs w:val="1"/>
          <w:sz w:val="21"/>
          <w:szCs w:val="21"/>
        </w:rPr>
      </w:pPr>
      <w:r w:rsidDel="00000000" w:rsidR="00000000" w:rsidRPr="00000000">
        <w:rPr>
          <w:rFonts w:ascii="Aptos" w:cs="Aptos" w:eastAsia="Aptos" w:hAnsi="Aptos"/>
        </w:rPr>
        <w:drawing>
          <wp:inline distB="0" distT="0" distL="0" distR="0">
            <wp:extent cx="1266680" cy="1586042"/>
            <wp:effectExtent b="0" l="0" r="0" t="0"/>
            <wp:docPr descr="Immagine che contiene testo, bottiglia, design&#10;&#10;Il contenuto generato dall'IA potrebbe non essere corretto." id="1813464594" name="image2.png"/>
            <a:graphic>
              <a:graphicData uri="http://schemas.openxmlformats.org/drawingml/2006/picture">
                <pic:pic>
                  <pic:nvPicPr>
                    <pic:cNvPr descr="Immagine che contiene testo, bottiglia, design&#10;&#10;Il contenuto generato dall'IA potrebbe non essere corretto.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680" cy="15860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before="240"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before="240"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240"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before="240" w:line="276" w:lineRule="auto"/>
        <w:jc w:val="both"/>
        <w:rPr>
          <w:rFonts w:ascii="Arial" w:cs="Arial" w:eastAsia="Arial" w:hAnsi="Arial"/>
          <w:i w:val="1"/>
          <w:i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1"/>
          <w:szCs w:val="21"/>
          <w:rtl w:val="0"/>
        </w:rPr>
        <w:t xml:space="preserve">Sponsor Benvenuto Brunello 2025</w:t>
      </w:r>
      <w:r w:rsidDel="00000000" w:rsidR="00000000" w:rsidRPr="00000000">
        <w:rPr>
          <w:rFonts w:ascii="Arial" w:cs="Arial" w:eastAsia="Arial" w:hAnsi="Arial"/>
          <w:i w:val="1"/>
          <w:iCs w:val="1"/>
          <w:sz w:val="21"/>
          <w:szCs w:val="21"/>
          <w:rtl w:val="0"/>
        </w:rPr>
        <w:t xml:space="preserve">: Amorim; Intesa Sanpaolo; Banca Monte Dei Paschi di Siena; Bernino; Carlo Sodi-Pausha; Fimer; Frantoio Montalcino; Grafiche Polimar; Illy Caffè; Isvea; Italesse; Mulino Val D'orcia; Nico Velo Spa; Pandolfini Srl; Pianigiani Bags; Pulltex; Repower; Rubeca; San Felice; Scat; Terrecablate; Trecieffe; Unicredit; Vason Group; Vetruria e Wino.Srl.</w:t>
      </w:r>
    </w:p>
    <w:p w:rsidR="00000000" w:rsidDel="00000000" w:rsidP="00000000" w:rsidRDefault="00000000" w:rsidRPr="00000000" w14:paraId="00000018">
      <w:pPr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1134" w:top="386" w:left="709" w:right="843" w:header="377" w:footer="1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1134" w:right="0" w:firstLine="1134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1134" w:right="0" w:firstLine="1134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-221983</wp:posOffset>
          </wp:positionH>
          <wp:positionV relativeFrom="paragraph">
            <wp:posOffset>84529</wp:posOffset>
          </wp:positionV>
          <wp:extent cx="6832600" cy="495300"/>
          <wp:effectExtent b="0" l="0" r="0" t="0"/>
          <wp:wrapNone/>
          <wp:docPr id="181346459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2600" cy="495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1134" w:right="0" w:firstLine="1134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1134" w:right="0" w:firstLine="1134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1134" w:right="0" w:firstLine="1134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1134" w:right="0" w:firstLine="1134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16320" cy="626745"/>
          <wp:effectExtent b="0" l="0" r="0" t="0"/>
          <wp:docPr id="1813464597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20" cy="626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1134" w:right="0" w:firstLine="1134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1134" w:right="0" w:firstLine="1134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Realizzato nell'ambito dell'intervento SRG10 "Promozione dei prodotti di qualità" del Complemento per lo sviluppo rurale della Toscana 2023-2027, cofinanziato con il Fondo europeo agricolo per lo sviluppo rurale (Feasr).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1134" w:right="0" w:firstLine="1134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574199" cy="1522663"/>
          <wp:effectExtent b="0" l="0" r="0" t="0"/>
          <wp:docPr descr="Immagine che contiene logo, emblema, simbolo, cerchio&#10;&#10;Il contenuto generato dall'IA potrebbe non essere corretto." id="1813464595" name="image3.png"/>
          <a:graphic>
            <a:graphicData uri="http://schemas.openxmlformats.org/drawingml/2006/picture">
              <pic:pic>
                <pic:nvPicPr>
                  <pic:cNvPr descr="Immagine che contiene logo, emblema, simbolo, cerchio&#10;&#10;Il contenuto generato dall'IA potrebbe non essere corret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4199" cy="1522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E61FA"/>
    <w:pPr>
      <w:tabs>
        <w:tab w:val="center" w:pos="4153"/>
        <w:tab w:val="right" w:pos="8306"/>
      </w:tabs>
    </w:pPr>
    <w:rPr>
      <w:rFonts w:eastAsia="SimSun"/>
      <w:lang w:eastAsia="x-none" w:val="x-none"/>
    </w:rPr>
  </w:style>
  <w:style w:type="character" w:styleId="IntestazioneCarattere" w:customStyle="1">
    <w:name w:val="Intestazione Carattere"/>
    <w:link w:val="Intestazione"/>
    <w:uiPriority w:val="99"/>
    <w:rsid w:val="009E61FA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 w:val="1"/>
    <w:rsid w:val="009E61FA"/>
    <w:pPr>
      <w:tabs>
        <w:tab w:val="center" w:pos="4153"/>
        <w:tab w:val="right" w:pos="8306"/>
      </w:tabs>
    </w:pPr>
    <w:rPr>
      <w:rFonts w:eastAsia="SimSun"/>
      <w:lang w:eastAsia="x-none" w:val="x-none"/>
    </w:rPr>
  </w:style>
  <w:style w:type="character" w:styleId="PidipaginaCarattere" w:customStyle="1">
    <w:name w:val="Piè di pagina Carattere"/>
    <w:link w:val="Pidipagina"/>
    <w:uiPriority w:val="99"/>
    <w:rsid w:val="009E61FA"/>
    <w:rPr>
      <w:sz w:val="20"/>
      <w:szCs w:val="20"/>
    </w:rPr>
  </w:style>
  <w:style w:type="character" w:styleId="Collegamentoipertestuale">
    <w:name w:val="Hyperlink"/>
    <w:rsid w:val="009E61F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72695"/>
    <w:rPr>
      <w:rFonts w:ascii="Lucida Grande" w:hAnsi="Lucida Grande"/>
      <w:sz w:val="18"/>
      <w:szCs w:val="18"/>
      <w:lang w:val="x-none"/>
    </w:rPr>
  </w:style>
  <w:style w:type="character" w:styleId="TestofumettoCarattere" w:customStyle="1">
    <w:name w:val="Testo fumetto Carattere"/>
    <w:link w:val="Testofumetto"/>
    <w:uiPriority w:val="99"/>
    <w:semiHidden w:val="1"/>
    <w:rsid w:val="00072695"/>
    <w:rPr>
      <w:rFonts w:ascii="Lucida Grande" w:eastAsia="Times New Roman" w:hAnsi="Lucida Grande"/>
      <w:kern w:val="0"/>
      <w:sz w:val="18"/>
      <w:szCs w:val="18"/>
      <w:lang w:eastAsia="it-IT"/>
    </w:rPr>
  </w:style>
  <w:style w:type="character" w:styleId="Enfasigrassetto">
    <w:name w:val="Strong"/>
    <w:uiPriority w:val="22"/>
    <w:qFormat w:val="1"/>
    <w:rsid w:val="003E6E1A"/>
    <w:rPr>
      <w:b w:val="1"/>
      <w:bCs w:val="1"/>
    </w:rPr>
  </w:style>
  <w:style w:type="paragraph" w:styleId="NormaleWeb">
    <w:name w:val="Normal (Web)"/>
    <w:basedOn w:val="Normale"/>
    <w:uiPriority w:val="99"/>
    <w:semiHidden w:val="1"/>
    <w:unhideWhenUsed w:val="1"/>
    <w:rsid w:val="003E6E1A"/>
    <w:pPr>
      <w:spacing w:after="100" w:afterAutospacing="1" w:before="100" w:beforeAutospacing="1"/>
    </w:pPr>
    <w:rPr>
      <w:sz w:val="24"/>
      <w:szCs w:val="24"/>
    </w:rPr>
  </w:style>
  <w:style w:type="character" w:styleId="Enfasicorsivo">
    <w:name w:val="Emphasis"/>
    <w:uiPriority w:val="20"/>
    <w:qFormat w:val="1"/>
    <w:rsid w:val="003E6E1A"/>
    <w:rPr>
      <w:i w:val="1"/>
      <w:iCs w:val="1"/>
    </w:rPr>
  </w:style>
  <w:style w:type="character" w:styleId="apple-converted-space" w:customStyle="1">
    <w:name w:val="apple-converted-space"/>
    <w:basedOn w:val="Carpredefinitoparagrafo"/>
    <w:rsid w:val="001F546F"/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4432BC"/>
    <w:rPr>
      <w:rFonts w:ascii="Calibri" w:eastAsia="Calibri" w:hAnsi="Calibri"/>
      <w:sz w:val="22"/>
      <w:szCs w:val="22"/>
      <w:lang w:eastAsia="x-none" w:val="x-none"/>
    </w:rPr>
  </w:style>
  <w:style w:type="character" w:styleId="TestonormaleCarattere" w:customStyle="1">
    <w:name w:val="Testo normale Carattere"/>
    <w:link w:val="Testonormale"/>
    <w:uiPriority w:val="99"/>
    <w:semiHidden w:val="1"/>
    <w:rsid w:val="004432BC"/>
    <w:rPr>
      <w:rFonts w:ascii="Calibri" w:cs="Calibri" w:eastAsia="Calibri" w:hAnsi="Calibri"/>
      <w:sz w:val="22"/>
      <w:szCs w:val="22"/>
    </w:rPr>
  </w:style>
  <w:style w:type="character" w:styleId="TitoloCarattere" w:customStyle="1">
    <w:name w:val="Titolo Carattere"/>
    <w:link w:val="Titolo"/>
    <w:uiPriority w:val="10"/>
    <w:rsid w:val="002C1D41"/>
    <w:rPr>
      <w:rFonts w:eastAsia="Calibri"/>
      <w:sz w:val="24"/>
      <w:szCs w:val="24"/>
    </w:rPr>
  </w:style>
  <w:style w:type="character" w:styleId="hps" w:customStyle="1">
    <w:name w:val="hps"/>
    <w:basedOn w:val="Carpredefinitoparagrafo"/>
    <w:rsid w:val="002C1D41"/>
  </w:style>
  <w:style w:type="character" w:styleId="Titolo1Carattere" w:customStyle="1">
    <w:name w:val="Titolo 1 Carattere"/>
    <w:link w:val="Titolo1"/>
    <w:uiPriority w:val="9"/>
    <w:rsid w:val="0035499C"/>
    <w:rPr>
      <w:rFonts w:eastAsia="Times New Roman"/>
      <w:b w:val="1"/>
      <w:bCs w:val="1"/>
      <w:color w:val="365f91"/>
      <w:sz w:val="28"/>
      <w:szCs w:val="28"/>
      <w:lang w:eastAsia="en-US"/>
    </w:rPr>
  </w:style>
  <w:style w:type="paragraph" w:styleId="Corpodeltesto" w:customStyle="1">
    <w:name w:val="Corpo del testo"/>
    <w:basedOn w:val="Normale"/>
    <w:link w:val="CorpodeltestoCarattere"/>
    <w:semiHidden w:val="1"/>
    <w:unhideWhenUsed w:val="1"/>
    <w:rsid w:val="00E237C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styleId="CorpodeltestoCarattere" w:customStyle="1">
    <w:name w:val="Corpo del testo Carattere"/>
    <w:link w:val="Corpodeltesto"/>
    <w:semiHidden w:val="1"/>
    <w:rsid w:val="00E237CC"/>
    <w:rPr>
      <w:rFonts w:eastAsia="Times New Roman"/>
      <w:sz w:val="24"/>
      <w:szCs w:val="24"/>
    </w:rPr>
  </w:style>
  <w:style w:type="character" w:styleId="xapple-converted-space" w:customStyle="1">
    <w:name w:val="xapple-converted-space"/>
    <w:basedOn w:val="Carpredefinitoparagrafo"/>
    <w:rsid w:val="00781806"/>
  </w:style>
  <w:style w:type="table" w:styleId="Grigliatabella">
    <w:name w:val="Table Grid"/>
    <w:basedOn w:val="Tabellanormale"/>
    <w:uiPriority w:val="59"/>
    <w:rsid w:val="008571A0"/>
    <w:tblPr/>
  </w:style>
  <w:style w:type="character" w:styleId="Menzionenonrisolta1" w:customStyle="1">
    <w:name w:val="Menzione non risolta1"/>
    <w:uiPriority w:val="99"/>
    <w:semiHidden w:val="1"/>
    <w:unhideWhenUsed w:val="1"/>
    <w:rsid w:val="00427E16"/>
    <w:rPr>
      <w:color w:val="605e5c"/>
      <w:shd w:color="auto" w:fill="e1dfdd" w:val="clear"/>
    </w:rPr>
  </w:style>
  <w:style w:type="character" w:styleId="Collegamentovisitato">
    <w:name w:val="FollowedHyperlink"/>
    <w:uiPriority w:val="99"/>
    <w:semiHidden w:val="1"/>
    <w:unhideWhenUsed w:val="1"/>
    <w:rsid w:val="002028B5"/>
    <w:rPr>
      <w:color w:val="954f72"/>
      <w:u w:val="single"/>
    </w:rPr>
  </w:style>
  <w:style w:type="paragraph" w:styleId="Default" w:customStyle="1">
    <w:name w:val="Default"/>
    <w:rsid w:val="008C01F4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rsid w:val="000A1611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B198C"/>
    <w:rPr>
      <w:color w:val="605e5c"/>
      <w:shd w:color="auto" w:fill="e1dfdd" w:val="clear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84485A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envenutobrunello.com/leccio-doro/" TargetMode="External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+iYHcklUO3L1AdRQ/NLWpPb/DQ==">CgMxLjAyDmgudHg3ZmVhOWMzNWp5OAByITFJUmVhcHlJa194UGVBQllTSWgzanoyUWkzWjBWRW9aSw==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2024-01-18T12:03:00Z</dcterms:created>
  <dc:creator>scampatelli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